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FBB598" w14:textId="7A45F591" w:rsidR="00E852EB" w:rsidRPr="00C618CC" w:rsidRDefault="0037501D" w:rsidP="00C618CC">
      <w:pPr>
        <w:pStyle w:val="Heading1"/>
        <w:contextualSpacing w:val="0"/>
        <w:rPr>
          <w:rFonts w:ascii="Arial" w:hAnsi="Arial" w:cs="Arial"/>
          <w:b/>
          <w:bCs/>
          <w:szCs w:val="36"/>
        </w:rPr>
      </w:pPr>
      <w:r w:rsidRPr="00C618CC">
        <w:rPr>
          <w:rFonts w:ascii="Arial" w:hAnsi="Arial" w:cs="Arial"/>
          <w:b/>
          <w:bCs/>
          <w:szCs w:val="36"/>
        </w:rPr>
        <w:t>Alternative</w:t>
      </w:r>
      <w:r w:rsidR="00912B5F" w:rsidRPr="00C618CC">
        <w:rPr>
          <w:rFonts w:ascii="Arial" w:hAnsi="Arial" w:cs="Arial"/>
          <w:b/>
          <w:bCs/>
          <w:szCs w:val="36"/>
        </w:rPr>
        <w:t xml:space="preserve"> investments</w:t>
      </w:r>
      <w:r w:rsidR="007818C5" w:rsidRPr="00C618CC">
        <w:rPr>
          <w:rFonts w:ascii="Arial" w:hAnsi="Arial" w:cs="Arial"/>
          <w:b/>
          <w:bCs/>
          <w:szCs w:val="36"/>
        </w:rPr>
        <w:t xml:space="preserve"> 101</w:t>
      </w:r>
    </w:p>
    <w:p w14:paraId="538DD435" w14:textId="4D5FE151" w:rsidR="007818C5" w:rsidRPr="00C618CC" w:rsidRDefault="007818C5" w:rsidP="00DA0B76">
      <w:pPr>
        <w:spacing w:line="240" w:lineRule="auto"/>
        <w:rPr>
          <w:sz w:val="22"/>
          <w:szCs w:val="22"/>
        </w:rPr>
      </w:pPr>
      <w:r w:rsidRPr="00C618CC">
        <w:rPr>
          <w:sz w:val="22"/>
          <w:szCs w:val="22"/>
        </w:rPr>
        <w:t>[Upbeat music plays]</w:t>
      </w:r>
    </w:p>
    <w:p w14:paraId="7253BCF6" w14:textId="11850FB9" w:rsidR="007818C5" w:rsidRPr="00C618CC" w:rsidRDefault="007818C5" w:rsidP="00DA0B76">
      <w:pPr>
        <w:spacing w:line="240" w:lineRule="auto"/>
        <w:rPr>
          <w:sz w:val="22"/>
          <w:szCs w:val="22"/>
        </w:rPr>
      </w:pPr>
    </w:p>
    <w:p w14:paraId="15FCAD67" w14:textId="2FFE066D" w:rsidR="007818C5" w:rsidRPr="00C618CC" w:rsidRDefault="007818C5" w:rsidP="00DA0B76">
      <w:pPr>
        <w:spacing w:line="240" w:lineRule="auto"/>
        <w:rPr>
          <w:sz w:val="22"/>
          <w:szCs w:val="22"/>
        </w:rPr>
      </w:pPr>
      <w:r w:rsidRPr="00C618CC">
        <w:rPr>
          <w:sz w:val="22"/>
          <w:szCs w:val="22"/>
        </w:rPr>
        <w:t>[An image of modern architecture]</w:t>
      </w:r>
    </w:p>
    <w:p w14:paraId="0567BCA8" w14:textId="77777777" w:rsidR="007818C5" w:rsidRPr="00C618CC" w:rsidRDefault="007818C5" w:rsidP="00DA0B76">
      <w:pPr>
        <w:spacing w:line="240" w:lineRule="auto"/>
        <w:rPr>
          <w:sz w:val="22"/>
          <w:szCs w:val="22"/>
        </w:rPr>
      </w:pPr>
    </w:p>
    <w:p w14:paraId="38B8E47B" w14:textId="1995082F" w:rsidR="007818C5" w:rsidRPr="00C618CC" w:rsidRDefault="007818C5" w:rsidP="00DA0B76">
      <w:pPr>
        <w:spacing w:line="240" w:lineRule="auto"/>
        <w:rPr>
          <w:sz w:val="22"/>
          <w:szCs w:val="22"/>
        </w:rPr>
      </w:pPr>
      <w:r w:rsidRPr="00C618CC">
        <w:rPr>
          <w:sz w:val="22"/>
          <w:szCs w:val="22"/>
        </w:rPr>
        <w:t>[CIBC Asset Management logo]</w:t>
      </w:r>
    </w:p>
    <w:p w14:paraId="2D499057" w14:textId="557B62F2" w:rsidR="007818C5" w:rsidRPr="00C618CC" w:rsidRDefault="007818C5" w:rsidP="00DA0B76">
      <w:pPr>
        <w:spacing w:line="240" w:lineRule="auto"/>
        <w:rPr>
          <w:sz w:val="22"/>
          <w:szCs w:val="22"/>
        </w:rPr>
      </w:pPr>
    </w:p>
    <w:p w14:paraId="798FBEF1" w14:textId="057A861C" w:rsidR="007818C5" w:rsidRPr="00C618CC" w:rsidRDefault="007818C5" w:rsidP="007818C5">
      <w:pPr>
        <w:pStyle w:val="Heading1"/>
        <w:contextualSpacing w:val="0"/>
        <w:rPr>
          <w:rFonts w:ascii="Arial" w:hAnsi="Arial" w:cs="Arial"/>
          <w:sz w:val="22"/>
          <w:szCs w:val="22"/>
        </w:rPr>
      </w:pPr>
      <w:r w:rsidRPr="00C618CC">
        <w:rPr>
          <w:sz w:val="22"/>
          <w:szCs w:val="22"/>
        </w:rPr>
        <w:t>[</w:t>
      </w:r>
      <w:r w:rsidRPr="00C618CC">
        <w:rPr>
          <w:rFonts w:ascii="Arial" w:hAnsi="Arial" w:cs="Arial"/>
          <w:sz w:val="22"/>
          <w:szCs w:val="22"/>
        </w:rPr>
        <w:t>Alternative investments 101]</w:t>
      </w:r>
    </w:p>
    <w:p w14:paraId="7D58D16F" w14:textId="55BACC8C" w:rsidR="007818C5" w:rsidRPr="00C618CC" w:rsidRDefault="007818C5" w:rsidP="007818C5">
      <w:pPr>
        <w:spacing w:line="240" w:lineRule="auto"/>
        <w:rPr>
          <w:sz w:val="22"/>
          <w:szCs w:val="22"/>
        </w:rPr>
      </w:pPr>
      <w:r w:rsidRPr="00C618CC">
        <w:rPr>
          <w:sz w:val="22"/>
          <w:szCs w:val="22"/>
        </w:rPr>
        <w:t>[</w:t>
      </w:r>
      <w:r w:rsidR="00C618CC" w:rsidRPr="00C618CC">
        <w:rPr>
          <w:sz w:val="22"/>
          <w:szCs w:val="22"/>
        </w:rPr>
        <w:t xml:space="preserve">Michael Sager, </w:t>
      </w:r>
      <w:r w:rsidRPr="00C618CC">
        <w:rPr>
          <w:sz w:val="22"/>
          <w:szCs w:val="22"/>
        </w:rPr>
        <w:t>Vice-President, Multi-Asset &amp; Currency, CIBC Asset Management]</w:t>
      </w:r>
    </w:p>
    <w:p w14:paraId="48EE2949" w14:textId="77777777" w:rsidR="007818C5" w:rsidRPr="00C618CC" w:rsidRDefault="007818C5" w:rsidP="00DA0B76">
      <w:pPr>
        <w:spacing w:line="240" w:lineRule="auto"/>
        <w:rPr>
          <w:sz w:val="22"/>
          <w:szCs w:val="22"/>
        </w:rPr>
      </w:pPr>
    </w:p>
    <w:p w14:paraId="192C07F5" w14:textId="2296DC9D" w:rsidR="00912B5F" w:rsidRPr="00C618CC" w:rsidRDefault="00DA0B76" w:rsidP="00DA0B76">
      <w:pPr>
        <w:spacing w:line="240" w:lineRule="auto"/>
        <w:rPr>
          <w:sz w:val="22"/>
          <w:szCs w:val="22"/>
        </w:rPr>
      </w:pPr>
      <w:r w:rsidRPr="00C618CC">
        <w:rPr>
          <w:sz w:val="22"/>
          <w:szCs w:val="22"/>
        </w:rPr>
        <w:t xml:space="preserve">The descriptor "alternatives" encompasses a broad mosaic of public and private market asset classes and strategies. If we start with asset classes, these range from highly liquid commodities and currencies to less liquid asset classes such as private equity and debt, real </w:t>
      </w:r>
      <w:proofErr w:type="gramStart"/>
      <w:r w:rsidRPr="00C618CC">
        <w:rPr>
          <w:sz w:val="22"/>
          <w:szCs w:val="22"/>
        </w:rPr>
        <w:t>estate</w:t>
      </w:r>
      <w:proofErr w:type="gramEnd"/>
      <w:r w:rsidRPr="00C618CC">
        <w:rPr>
          <w:sz w:val="22"/>
          <w:szCs w:val="22"/>
        </w:rPr>
        <w:t xml:space="preserve"> and infrastructure.</w:t>
      </w:r>
    </w:p>
    <w:p w14:paraId="109A301B" w14:textId="063430B6" w:rsidR="007818C5" w:rsidRPr="00C618CC" w:rsidRDefault="007818C5" w:rsidP="00DA0B76">
      <w:pPr>
        <w:spacing w:line="240" w:lineRule="auto"/>
        <w:rPr>
          <w:sz w:val="22"/>
          <w:szCs w:val="22"/>
        </w:rPr>
      </w:pPr>
    </w:p>
    <w:p w14:paraId="1F676E1D" w14:textId="77777777" w:rsidR="007818C5" w:rsidRPr="00C618CC" w:rsidRDefault="007818C5" w:rsidP="007818C5">
      <w:pPr>
        <w:spacing w:line="240" w:lineRule="auto"/>
        <w:rPr>
          <w:sz w:val="22"/>
          <w:szCs w:val="22"/>
        </w:rPr>
      </w:pPr>
      <w:r w:rsidRPr="00C618CC">
        <w:rPr>
          <w:sz w:val="22"/>
          <w:szCs w:val="22"/>
        </w:rPr>
        <w:t>[Alternative asset classes</w:t>
      </w:r>
    </w:p>
    <w:p w14:paraId="5DF823E1" w14:textId="77777777" w:rsidR="007818C5" w:rsidRPr="00C618CC" w:rsidRDefault="007818C5" w:rsidP="007818C5">
      <w:pPr>
        <w:spacing w:line="240" w:lineRule="auto"/>
        <w:rPr>
          <w:sz w:val="22"/>
          <w:szCs w:val="22"/>
        </w:rPr>
      </w:pPr>
      <w:r w:rsidRPr="00C618CC">
        <w:rPr>
          <w:sz w:val="22"/>
          <w:szCs w:val="22"/>
        </w:rPr>
        <w:t xml:space="preserve">Liquid assets: </w:t>
      </w:r>
    </w:p>
    <w:p w14:paraId="1385444F" w14:textId="77777777" w:rsidR="007818C5" w:rsidRPr="00C618CC" w:rsidRDefault="007818C5" w:rsidP="007818C5">
      <w:pPr>
        <w:spacing w:line="240" w:lineRule="auto"/>
        <w:rPr>
          <w:sz w:val="22"/>
          <w:szCs w:val="22"/>
        </w:rPr>
      </w:pPr>
      <w:r w:rsidRPr="00C618CC">
        <w:rPr>
          <w:sz w:val="22"/>
          <w:szCs w:val="22"/>
        </w:rPr>
        <w:t>- Commodities</w:t>
      </w:r>
    </w:p>
    <w:p w14:paraId="7A9A4ECE" w14:textId="77777777" w:rsidR="007818C5" w:rsidRPr="00C618CC" w:rsidRDefault="007818C5" w:rsidP="007818C5">
      <w:pPr>
        <w:spacing w:line="240" w:lineRule="auto"/>
        <w:rPr>
          <w:sz w:val="22"/>
          <w:szCs w:val="22"/>
        </w:rPr>
      </w:pPr>
      <w:r w:rsidRPr="00C618CC">
        <w:rPr>
          <w:sz w:val="22"/>
          <w:szCs w:val="22"/>
        </w:rPr>
        <w:t>- Currencies</w:t>
      </w:r>
    </w:p>
    <w:p w14:paraId="0CCE3950" w14:textId="77777777" w:rsidR="007818C5" w:rsidRPr="00C618CC" w:rsidRDefault="007818C5" w:rsidP="007818C5">
      <w:pPr>
        <w:spacing w:line="240" w:lineRule="auto"/>
        <w:rPr>
          <w:sz w:val="22"/>
          <w:szCs w:val="22"/>
        </w:rPr>
      </w:pPr>
      <w:r w:rsidRPr="00C618CC">
        <w:rPr>
          <w:sz w:val="22"/>
          <w:szCs w:val="22"/>
        </w:rPr>
        <w:t>Illiquid assets:</w:t>
      </w:r>
    </w:p>
    <w:p w14:paraId="5E796AEE" w14:textId="77777777" w:rsidR="007818C5" w:rsidRPr="00C618CC" w:rsidRDefault="007818C5" w:rsidP="007818C5">
      <w:pPr>
        <w:spacing w:line="240" w:lineRule="auto"/>
        <w:rPr>
          <w:sz w:val="22"/>
          <w:szCs w:val="22"/>
        </w:rPr>
      </w:pPr>
      <w:r w:rsidRPr="00C618CC">
        <w:rPr>
          <w:sz w:val="22"/>
          <w:szCs w:val="22"/>
        </w:rPr>
        <w:t>- Private equity and debt</w:t>
      </w:r>
    </w:p>
    <w:p w14:paraId="7308277E" w14:textId="77777777" w:rsidR="007818C5" w:rsidRPr="00C618CC" w:rsidRDefault="007818C5" w:rsidP="007818C5">
      <w:pPr>
        <w:spacing w:line="240" w:lineRule="auto"/>
        <w:rPr>
          <w:sz w:val="22"/>
          <w:szCs w:val="22"/>
        </w:rPr>
      </w:pPr>
      <w:r w:rsidRPr="00C618CC">
        <w:rPr>
          <w:sz w:val="22"/>
          <w:szCs w:val="22"/>
        </w:rPr>
        <w:t>- Real estate</w:t>
      </w:r>
    </w:p>
    <w:p w14:paraId="1B3D72BD" w14:textId="1C1495F9" w:rsidR="007818C5" w:rsidRPr="00C618CC" w:rsidRDefault="007818C5" w:rsidP="00DA0B76">
      <w:pPr>
        <w:spacing w:line="240" w:lineRule="auto"/>
        <w:rPr>
          <w:sz w:val="22"/>
          <w:szCs w:val="22"/>
        </w:rPr>
      </w:pPr>
      <w:r w:rsidRPr="00C618CC">
        <w:rPr>
          <w:sz w:val="22"/>
          <w:szCs w:val="22"/>
        </w:rPr>
        <w:t>- Infrastructure]</w:t>
      </w:r>
    </w:p>
    <w:p w14:paraId="608FF644" w14:textId="675FF6DE" w:rsidR="00912B5F" w:rsidRPr="00C618CC" w:rsidRDefault="00912B5F" w:rsidP="00DA0B76">
      <w:pPr>
        <w:spacing w:line="240" w:lineRule="auto"/>
        <w:rPr>
          <w:sz w:val="22"/>
          <w:szCs w:val="22"/>
        </w:rPr>
      </w:pPr>
    </w:p>
    <w:p w14:paraId="67957C82" w14:textId="2E33A6E1" w:rsidR="00DA0B76" w:rsidRPr="00C618CC" w:rsidRDefault="00DA0B76" w:rsidP="00DA0B76">
      <w:pPr>
        <w:spacing w:line="240" w:lineRule="auto"/>
        <w:rPr>
          <w:sz w:val="22"/>
          <w:szCs w:val="22"/>
        </w:rPr>
      </w:pPr>
      <w:r w:rsidRPr="00C618CC">
        <w:rPr>
          <w:sz w:val="22"/>
          <w:szCs w:val="22"/>
        </w:rPr>
        <w:t>Turning to alternative strategies, these can provide the ability for investors to express the full range of investment insight by implementing both long and short positions in portfolios across and between various asset classes, rather than being constrained to long only positions in a traditional investment solution.</w:t>
      </w:r>
    </w:p>
    <w:p w14:paraId="0E95D41E" w14:textId="24F7363A" w:rsidR="007818C5" w:rsidRPr="00C618CC" w:rsidRDefault="007818C5" w:rsidP="00DA0B76">
      <w:pPr>
        <w:spacing w:line="240" w:lineRule="auto"/>
        <w:rPr>
          <w:sz w:val="22"/>
          <w:szCs w:val="22"/>
        </w:rPr>
      </w:pPr>
    </w:p>
    <w:p w14:paraId="74264A77" w14:textId="77777777" w:rsidR="007818C5" w:rsidRPr="00C618CC" w:rsidRDefault="007818C5" w:rsidP="007818C5">
      <w:pPr>
        <w:spacing w:line="240" w:lineRule="auto"/>
        <w:rPr>
          <w:sz w:val="22"/>
          <w:szCs w:val="22"/>
        </w:rPr>
      </w:pPr>
      <w:r w:rsidRPr="00C618CC">
        <w:rPr>
          <w:sz w:val="22"/>
          <w:szCs w:val="22"/>
        </w:rPr>
        <w:t>[Alternative strategies</w:t>
      </w:r>
    </w:p>
    <w:p w14:paraId="7C03AB11" w14:textId="77777777" w:rsidR="007818C5" w:rsidRPr="00C618CC" w:rsidRDefault="007818C5" w:rsidP="007818C5">
      <w:pPr>
        <w:spacing w:line="240" w:lineRule="auto"/>
        <w:rPr>
          <w:sz w:val="22"/>
          <w:szCs w:val="22"/>
        </w:rPr>
      </w:pPr>
      <w:r w:rsidRPr="00C618CC">
        <w:rPr>
          <w:sz w:val="22"/>
          <w:szCs w:val="22"/>
        </w:rPr>
        <w:t>Liquid strategies:</w:t>
      </w:r>
    </w:p>
    <w:p w14:paraId="33C6A47C" w14:textId="77777777" w:rsidR="007818C5" w:rsidRPr="00C618CC" w:rsidRDefault="007818C5" w:rsidP="007818C5">
      <w:pPr>
        <w:spacing w:line="240" w:lineRule="auto"/>
        <w:rPr>
          <w:sz w:val="22"/>
          <w:szCs w:val="22"/>
        </w:rPr>
      </w:pPr>
      <w:r w:rsidRPr="00C618CC">
        <w:rPr>
          <w:sz w:val="22"/>
          <w:szCs w:val="22"/>
        </w:rPr>
        <w:t>- Multi-strategy/Absolute return</w:t>
      </w:r>
    </w:p>
    <w:p w14:paraId="66A105E2" w14:textId="77777777" w:rsidR="007818C5" w:rsidRPr="00C618CC" w:rsidRDefault="007818C5" w:rsidP="007818C5">
      <w:pPr>
        <w:spacing w:line="240" w:lineRule="auto"/>
        <w:rPr>
          <w:sz w:val="22"/>
          <w:szCs w:val="22"/>
        </w:rPr>
      </w:pPr>
      <w:r w:rsidRPr="00C618CC">
        <w:rPr>
          <w:sz w:val="22"/>
          <w:szCs w:val="22"/>
        </w:rPr>
        <w:t>- Global macro</w:t>
      </w:r>
    </w:p>
    <w:p w14:paraId="4A6B8AF7" w14:textId="77777777" w:rsidR="007818C5" w:rsidRPr="00C618CC" w:rsidRDefault="007818C5" w:rsidP="007818C5">
      <w:pPr>
        <w:spacing w:line="240" w:lineRule="auto"/>
        <w:rPr>
          <w:sz w:val="22"/>
          <w:szCs w:val="22"/>
        </w:rPr>
      </w:pPr>
      <w:r w:rsidRPr="00C618CC">
        <w:rPr>
          <w:sz w:val="22"/>
          <w:szCs w:val="22"/>
        </w:rPr>
        <w:t>- Event-driven strategies</w:t>
      </w:r>
    </w:p>
    <w:p w14:paraId="1ABEF3BC" w14:textId="77777777" w:rsidR="007818C5" w:rsidRPr="00C618CC" w:rsidRDefault="007818C5" w:rsidP="007818C5">
      <w:pPr>
        <w:spacing w:line="240" w:lineRule="auto"/>
        <w:rPr>
          <w:sz w:val="22"/>
          <w:szCs w:val="22"/>
        </w:rPr>
      </w:pPr>
      <w:r w:rsidRPr="00C618CC">
        <w:rPr>
          <w:sz w:val="22"/>
          <w:szCs w:val="22"/>
        </w:rPr>
        <w:t>- Unconstrained bond strategies</w:t>
      </w:r>
    </w:p>
    <w:p w14:paraId="2A992A25" w14:textId="77777777" w:rsidR="007818C5" w:rsidRPr="00C618CC" w:rsidRDefault="007818C5" w:rsidP="007818C5">
      <w:pPr>
        <w:spacing w:line="240" w:lineRule="auto"/>
        <w:rPr>
          <w:sz w:val="22"/>
          <w:szCs w:val="22"/>
        </w:rPr>
      </w:pPr>
      <w:r w:rsidRPr="00C618CC">
        <w:rPr>
          <w:sz w:val="22"/>
          <w:szCs w:val="22"/>
        </w:rPr>
        <w:t>- Equity market-neutral</w:t>
      </w:r>
    </w:p>
    <w:p w14:paraId="50F2A5C8" w14:textId="77777777" w:rsidR="007818C5" w:rsidRPr="00C618CC" w:rsidRDefault="007818C5" w:rsidP="007818C5">
      <w:pPr>
        <w:spacing w:line="240" w:lineRule="auto"/>
        <w:rPr>
          <w:sz w:val="22"/>
          <w:szCs w:val="22"/>
        </w:rPr>
      </w:pPr>
      <w:r w:rsidRPr="00C618CC">
        <w:rPr>
          <w:sz w:val="22"/>
          <w:szCs w:val="22"/>
        </w:rPr>
        <w:t>- Long/short equity]</w:t>
      </w:r>
    </w:p>
    <w:p w14:paraId="07CEC96B" w14:textId="77777777" w:rsidR="007818C5" w:rsidRPr="00C618CC" w:rsidRDefault="007818C5" w:rsidP="007818C5">
      <w:pPr>
        <w:spacing w:line="240" w:lineRule="auto"/>
        <w:rPr>
          <w:sz w:val="22"/>
          <w:szCs w:val="22"/>
        </w:rPr>
      </w:pPr>
    </w:p>
    <w:p w14:paraId="5E0DC4ED" w14:textId="36E0FF57" w:rsidR="00E852EB" w:rsidRPr="00C618CC" w:rsidRDefault="00E852EB" w:rsidP="00DA0B76">
      <w:pPr>
        <w:spacing w:line="240" w:lineRule="auto"/>
        <w:rPr>
          <w:sz w:val="22"/>
          <w:szCs w:val="22"/>
        </w:rPr>
      </w:pPr>
      <w:r w:rsidRPr="00C618CC">
        <w:rPr>
          <w:sz w:val="22"/>
          <w:szCs w:val="22"/>
        </w:rPr>
        <w:t>[An image of a skyscraper]</w:t>
      </w:r>
    </w:p>
    <w:p w14:paraId="69AE835D" w14:textId="77777777" w:rsidR="00E852EB" w:rsidRPr="00C618CC" w:rsidRDefault="00E852EB" w:rsidP="00DA0B76">
      <w:pPr>
        <w:spacing w:line="240" w:lineRule="auto"/>
        <w:rPr>
          <w:sz w:val="22"/>
          <w:szCs w:val="22"/>
        </w:rPr>
      </w:pPr>
    </w:p>
    <w:p w14:paraId="3AE812CE" w14:textId="51489CA7" w:rsidR="007818C5" w:rsidRPr="00C618CC" w:rsidRDefault="007818C5" w:rsidP="00DA0B76">
      <w:pPr>
        <w:spacing w:line="240" w:lineRule="auto"/>
        <w:rPr>
          <w:sz w:val="22"/>
          <w:szCs w:val="22"/>
        </w:rPr>
      </w:pPr>
      <w:r w:rsidRPr="00C618CC">
        <w:rPr>
          <w:sz w:val="22"/>
          <w:szCs w:val="22"/>
        </w:rPr>
        <w:t>[Why should investors and advisors consider using alternatives in a portfolio?]</w:t>
      </w:r>
    </w:p>
    <w:p w14:paraId="6CD6687B" w14:textId="77777777" w:rsidR="00DA0B76" w:rsidRPr="00C618CC" w:rsidRDefault="00DA0B76" w:rsidP="00DA0B76">
      <w:pPr>
        <w:spacing w:line="240" w:lineRule="auto"/>
        <w:rPr>
          <w:sz w:val="22"/>
          <w:szCs w:val="22"/>
        </w:rPr>
      </w:pPr>
    </w:p>
    <w:p w14:paraId="1444DD46" w14:textId="77DC3B34" w:rsidR="00EC785D" w:rsidRPr="00C618CC" w:rsidRDefault="00DA0B76" w:rsidP="00DA0B76">
      <w:pPr>
        <w:spacing w:line="240" w:lineRule="auto"/>
        <w:rPr>
          <w:sz w:val="22"/>
          <w:szCs w:val="22"/>
        </w:rPr>
      </w:pPr>
      <w:r w:rsidRPr="00C618CC">
        <w:rPr>
          <w:sz w:val="22"/>
          <w:szCs w:val="22"/>
        </w:rPr>
        <w:t>Alternatives provide investors with exposure to a broader set of risks and returns than can be accessed through investments that rely only on traditional public equity and fixed income solutions. More breadth is synonymous with greater portfolio diverse allocation, which can help mitigate equity drawdown risk and smooth out the trajectory of returns.</w:t>
      </w:r>
    </w:p>
    <w:p w14:paraId="263AA9C1" w14:textId="77777777" w:rsidR="00EC785D" w:rsidRPr="00C618CC" w:rsidRDefault="00EC785D" w:rsidP="00DA0B76">
      <w:pPr>
        <w:spacing w:line="240" w:lineRule="auto"/>
        <w:rPr>
          <w:sz w:val="22"/>
          <w:szCs w:val="22"/>
        </w:rPr>
      </w:pPr>
    </w:p>
    <w:p w14:paraId="2F79A0B2" w14:textId="52644F6B" w:rsidR="007818C5" w:rsidRPr="00C618CC" w:rsidRDefault="00DA0B76" w:rsidP="00DA0B76">
      <w:pPr>
        <w:spacing w:line="240" w:lineRule="auto"/>
        <w:rPr>
          <w:sz w:val="22"/>
          <w:szCs w:val="22"/>
        </w:rPr>
      </w:pPr>
      <w:r w:rsidRPr="00C618CC">
        <w:rPr>
          <w:sz w:val="22"/>
          <w:szCs w:val="22"/>
        </w:rPr>
        <w:t>Alternatives are complements</w:t>
      </w:r>
      <w:r w:rsidR="004E3059" w:rsidRPr="00C618CC">
        <w:rPr>
          <w:sz w:val="22"/>
          <w:szCs w:val="22"/>
        </w:rPr>
        <w:t>,</w:t>
      </w:r>
      <w:r w:rsidRPr="00C618CC">
        <w:rPr>
          <w:sz w:val="22"/>
          <w:szCs w:val="22"/>
        </w:rPr>
        <w:t xml:space="preserve"> not substitutes.</w:t>
      </w:r>
    </w:p>
    <w:p w14:paraId="44583E91" w14:textId="77777777" w:rsidR="007818C5" w:rsidRPr="00C618CC" w:rsidRDefault="007818C5" w:rsidP="00DA0B76">
      <w:pPr>
        <w:spacing w:line="240" w:lineRule="auto"/>
        <w:rPr>
          <w:sz w:val="22"/>
          <w:szCs w:val="22"/>
        </w:rPr>
      </w:pPr>
    </w:p>
    <w:p w14:paraId="086516B2" w14:textId="29247239" w:rsidR="007818C5" w:rsidRPr="00C618CC" w:rsidRDefault="007818C5" w:rsidP="007818C5">
      <w:pPr>
        <w:spacing w:line="240" w:lineRule="auto"/>
        <w:rPr>
          <w:sz w:val="22"/>
          <w:szCs w:val="22"/>
        </w:rPr>
      </w:pPr>
      <w:r w:rsidRPr="00C618CC">
        <w:rPr>
          <w:sz w:val="22"/>
          <w:szCs w:val="22"/>
        </w:rPr>
        <w:t xml:space="preserve">[Alternatives are complements] </w:t>
      </w:r>
    </w:p>
    <w:p w14:paraId="763EBA16" w14:textId="5F75E5D6" w:rsidR="007818C5" w:rsidRPr="00C618CC" w:rsidRDefault="007818C5" w:rsidP="007818C5">
      <w:pPr>
        <w:spacing w:line="240" w:lineRule="auto"/>
        <w:rPr>
          <w:sz w:val="22"/>
          <w:szCs w:val="22"/>
        </w:rPr>
      </w:pPr>
    </w:p>
    <w:p w14:paraId="48FF28B8" w14:textId="6626F21A" w:rsidR="007818C5" w:rsidRPr="00C618CC" w:rsidRDefault="007818C5" w:rsidP="007818C5">
      <w:pPr>
        <w:spacing w:line="240" w:lineRule="auto"/>
        <w:rPr>
          <w:sz w:val="22"/>
          <w:szCs w:val="22"/>
        </w:rPr>
      </w:pPr>
      <w:r w:rsidRPr="00C618CC">
        <w:rPr>
          <w:sz w:val="22"/>
          <w:szCs w:val="22"/>
        </w:rPr>
        <w:t xml:space="preserve">[A close-up image of a </w:t>
      </w:r>
      <w:proofErr w:type="gramStart"/>
      <w:r w:rsidRPr="00C618CC">
        <w:rPr>
          <w:sz w:val="22"/>
          <w:szCs w:val="22"/>
        </w:rPr>
        <w:t>hand writing</w:t>
      </w:r>
      <w:proofErr w:type="gramEnd"/>
      <w:r w:rsidRPr="00C618CC">
        <w:rPr>
          <w:sz w:val="22"/>
          <w:szCs w:val="22"/>
        </w:rPr>
        <w:t xml:space="preserve"> with a stylus on a tablet]</w:t>
      </w:r>
    </w:p>
    <w:p w14:paraId="7F22C95A" w14:textId="77777777" w:rsidR="007818C5" w:rsidRPr="00C618CC" w:rsidRDefault="007818C5" w:rsidP="007818C5">
      <w:pPr>
        <w:spacing w:line="240" w:lineRule="auto"/>
        <w:rPr>
          <w:sz w:val="22"/>
          <w:szCs w:val="22"/>
        </w:rPr>
      </w:pPr>
    </w:p>
    <w:p w14:paraId="7E495373" w14:textId="77777777" w:rsidR="00F12D1F" w:rsidRPr="00C618CC" w:rsidRDefault="00DA0B76" w:rsidP="00DA0B76">
      <w:pPr>
        <w:spacing w:line="240" w:lineRule="auto"/>
        <w:rPr>
          <w:sz w:val="22"/>
          <w:szCs w:val="22"/>
        </w:rPr>
      </w:pPr>
      <w:r w:rsidRPr="00C618CC">
        <w:rPr>
          <w:sz w:val="22"/>
          <w:szCs w:val="22"/>
        </w:rPr>
        <w:t>Our challenge is to determine how best to combine all these opportunities into a more optimal portfolio.</w:t>
      </w:r>
      <w:r w:rsidR="00A42202" w:rsidRPr="00C618CC">
        <w:rPr>
          <w:sz w:val="22"/>
          <w:szCs w:val="22"/>
        </w:rPr>
        <w:t xml:space="preserve"> </w:t>
      </w:r>
      <w:r w:rsidR="007818C5" w:rsidRPr="00C618CC">
        <w:rPr>
          <w:sz w:val="22"/>
          <w:szCs w:val="22"/>
        </w:rPr>
        <w:t xml:space="preserve">Each alternative offers something distinct and complimentary. </w:t>
      </w:r>
      <w:r w:rsidRPr="00C618CC">
        <w:rPr>
          <w:sz w:val="22"/>
          <w:szCs w:val="22"/>
        </w:rPr>
        <w:t>Private equity offers higher expected returns relative to public equity, albeit at the cost of less liquidity.</w:t>
      </w:r>
    </w:p>
    <w:p w14:paraId="293EE38E" w14:textId="2F9D98D2" w:rsidR="00F12D1F" w:rsidRPr="00C618CC" w:rsidRDefault="00F12D1F" w:rsidP="00DA0B76">
      <w:pPr>
        <w:spacing w:line="240" w:lineRule="auto"/>
        <w:rPr>
          <w:sz w:val="22"/>
          <w:szCs w:val="22"/>
        </w:rPr>
      </w:pPr>
    </w:p>
    <w:p w14:paraId="06FDB3A3" w14:textId="77777777" w:rsidR="00F12D1F" w:rsidRPr="00C618CC" w:rsidRDefault="00F12D1F" w:rsidP="00F12D1F">
      <w:pPr>
        <w:spacing w:line="240" w:lineRule="auto"/>
        <w:rPr>
          <w:sz w:val="22"/>
          <w:szCs w:val="22"/>
        </w:rPr>
      </w:pPr>
      <w:r w:rsidRPr="00C618CC">
        <w:rPr>
          <w:sz w:val="22"/>
          <w:szCs w:val="22"/>
        </w:rPr>
        <w:t>[Private equity</w:t>
      </w:r>
    </w:p>
    <w:p w14:paraId="4DE12631" w14:textId="77777777" w:rsidR="00F12D1F" w:rsidRPr="00C618CC" w:rsidRDefault="00F12D1F" w:rsidP="00F12D1F">
      <w:pPr>
        <w:spacing w:line="240" w:lineRule="auto"/>
        <w:rPr>
          <w:sz w:val="22"/>
          <w:szCs w:val="22"/>
        </w:rPr>
      </w:pPr>
      <w:r w:rsidRPr="00C618CC">
        <w:rPr>
          <w:sz w:val="22"/>
          <w:szCs w:val="22"/>
        </w:rPr>
        <w:t>- Offers higher expected returns relative to public equity</w:t>
      </w:r>
    </w:p>
    <w:p w14:paraId="4BFC8269" w14:textId="2A791E09" w:rsidR="00F12D1F" w:rsidRPr="00C618CC" w:rsidRDefault="00F12D1F" w:rsidP="00DA0B76">
      <w:pPr>
        <w:spacing w:line="240" w:lineRule="auto"/>
        <w:rPr>
          <w:sz w:val="22"/>
          <w:szCs w:val="22"/>
        </w:rPr>
      </w:pPr>
      <w:r w:rsidRPr="00C618CC">
        <w:rPr>
          <w:sz w:val="22"/>
          <w:szCs w:val="22"/>
        </w:rPr>
        <w:t>- At the cost of less liquidity]</w:t>
      </w:r>
    </w:p>
    <w:p w14:paraId="31FC1AD1" w14:textId="77777777" w:rsidR="00F12D1F" w:rsidRPr="00C618CC" w:rsidRDefault="00F12D1F" w:rsidP="00DA0B76">
      <w:pPr>
        <w:spacing w:line="240" w:lineRule="auto"/>
        <w:rPr>
          <w:sz w:val="22"/>
          <w:szCs w:val="22"/>
        </w:rPr>
      </w:pPr>
    </w:p>
    <w:p w14:paraId="134475BE" w14:textId="77777777" w:rsidR="00F12D1F" w:rsidRPr="00C618CC" w:rsidRDefault="00DA0B76" w:rsidP="00DA0B76">
      <w:pPr>
        <w:spacing w:line="240" w:lineRule="auto"/>
        <w:rPr>
          <w:sz w:val="22"/>
          <w:szCs w:val="22"/>
        </w:rPr>
      </w:pPr>
      <w:r w:rsidRPr="00C618CC">
        <w:rPr>
          <w:sz w:val="22"/>
          <w:szCs w:val="22"/>
        </w:rPr>
        <w:t>Real estate and infrastructure offer the possibility of enhanced income as well as a greater ability to hedge inflation risks and multi-asset strategies can provide diversification benefits that help smooth the profile of long-term expected returns.</w:t>
      </w:r>
    </w:p>
    <w:p w14:paraId="0CEE8B77" w14:textId="77777777" w:rsidR="00F12D1F" w:rsidRPr="00C618CC" w:rsidRDefault="00F12D1F" w:rsidP="00DA0B76">
      <w:pPr>
        <w:spacing w:line="240" w:lineRule="auto"/>
        <w:rPr>
          <w:sz w:val="22"/>
          <w:szCs w:val="22"/>
        </w:rPr>
      </w:pPr>
    </w:p>
    <w:p w14:paraId="4E095A84" w14:textId="77777777" w:rsidR="00F12D1F" w:rsidRPr="00C618CC" w:rsidRDefault="00F12D1F" w:rsidP="00F12D1F">
      <w:pPr>
        <w:spacing w:line="240" w:lineRule="auto"/>
        <w:rPr>
          <w:sz w:val="22"/>
          <w:szCs w:val="22"/>
        </w:rPr>
      </w:pPr>
      <w:r w:rsidRPr="00C618CC">
        <w:rPr>
          <w:sz w:val="22"/>
          <w:szCs w:val="22"/>
        </w:rPr>
        <w:t>[Real estate &amp; infrastructure</w:t>
      </w:r>
    </w:p>
    <w:p w14:paraId="57E258D0" w14:textId="77777777" w:rsidR="00F12D1F" w:rsidRPr="00C618CC" w:rsidRDefault="00F12D1F" w:rsidP="00F12D1F">
      <w:pPr>
        <w:spacing w:line="240" w:lineRule="auto"/>
        <w:rPr>
          <w:sz w:val="22"/>
          <w:szCs w:val="22"/>
        </w:rPr>
      </w:pPr>
      <w:r w:rsidRPr="00C618CC">
        <w:rPr>
          <w:sz w:val="22"/>
          <w:szCs w:val="22"/>
        </w:rPr>
        <w:t>- Offer possibility of enhanced income</w:t>
      </w:r>
    </w:p>
    <w:p w14:paraId="2175FBC1" w14:textId="77777777" w:rsidR="00F12D1F" w:rsidRPr="00C618CC" w:rsidRDefault="00F12D1F" w:rsidP="00F12D1F">
      <w:pPr>
        <w:spacing w:line="240" w:lineRule="auto"/>
        <w:rPr>
          <w:sz w:val="22"/>
          <w:szCs w:val="22"/>
        </w:rPr>
      </w:pPr>
      <w:r w:rsidRPr="00C618CC">
        <w:rPr>
          <w:sz w:val="22"/>
          <w:szCs w:val="22"/>
        </w:rPr>
        <w:t>- Greater ability to hedge inflation risks</w:t>
      </w:r>
    </w:p>
    <w:p w14:paraId="4647ECEF" w14:textId="77777777" w:rsidR="00F12D1F" w:rsidRPr="00C618CC" w:rsidRDefault="00F12D1F" w:rsidP="00F12D1F">
      <w:pPr>
        <w:spacing w:line="240" w:lineRule="auto"/>
        <w:rPr>
          <w:sz w:val="22"/>
          <w:szCs w:val="22"/>
        </w:rPr>
      </w:pPr>
    </w:p>
    <w:p w14:paraId="50597426" w14:textId="77777777" w:rsidR="00F12D1F" w:rsidRPr="00C618CC" w:rsidRDefault="00F12D1F" w:rsidP="00F12D1F">
      <w:pPr>
        <w:spacing w:line="240" w:lineRule="auto"/>
        <w:rPr>
          <w:sz w:val="22"/>
          <w:szCs w:val="22"/>
        </w:rPr>
      </w:pPr>
      <w:r w:rsidRPr="00C618CC">
        <w:rPr>
          <w:sz w:val="22"/>
          <w:szCs w:val="22"/>
        </w:rPr>
        <w:t>Multi-asset strategies</w:t>
      </w:r>
    </w:p>
    <w:p w14:paraId="12C9C227" w14:textId="77777777" w:rsidR="00F12D1F" w:rsidRPr="00C618CC" w:rsidRDefault="00F12D1F" w:rsidP="00F12D1F">
      <w:pPr>
        <w:spacing w:line="240" w:lineRule="auto"/>
        <w:rPr>
          <w:sz w:val="22"/>
          <w:szCs w:val="22"/>
        </w:rPr>
      </w:pPr>
      <w:r w:rsidRPr="00C618CC">
        <w:rPr>
          <w:sz w:val="22"/>
          <w:szCs w:val="22"/>
        </w:rPr>
        <w:t>- Can provide diversification benefits</w:t>
      </w:r>
    </w:p>
    <w:p w14:paraId="612A1EAB" w14:textId="77777777" w:rsidR="00F12D1F" w:rsidRPr="00C618CC" w:rsidRDefault="00F12D1F" w:rsidP="00F12D1F">
      <w:pPr>
        <w:spacing w:line="240" w:lineRule="auto"/>
        <w:rPr>
          <w:sz w:val="22"/>
          <w:szCs w:val="22"/>
        </w:rPr>
      </w:pPr>
      <w:r w:rsidRPr="00C618CC">
        <w:rPr>
          <w:sz w:val="22"/>
          <w:szCs w:val="22"/>
        </w:rPr>
        <w:t>that help smooth the profile</w:t>
      </w:r>
    </w:p>
    <w:p w14:paraId="79CED497" w14:textId="74F6F3E7" w:rsidR="00F12D1F" w:rsidRPr="00C618CC" w:rsidRDefault="00F12D1F" w:rsidP="00DA0B76">
      <w:pPr>
        <w:spacing w:line="240" w:lineRule="auto"/>
        <w:rPr>
          <w:sz w:val="22"/>
          <w:szCs w:val="22"/>
        </w:rPr>
      </w:pPr>
      <w:r w:rsidRPr="00C618CC">
        <w:rPr>
          <w:sz w:val="22"/>
          <w:szCs w:val="22"/>
        </w:rPr>
        <w:t>of long-term expected returns]</w:t>
      </w:r>
    </w:p>
    <w:p w14:paraId="423F48AA" w14:textId="77777777" w:rsidR="00F12D1F" w:rsidRPr="00C618CC" w:rsidRDefault="00F12D1F" w:rsidP="00DA0B76">
      <w:pPr>
        <w:spacing w:line="240" w:lineRule="auto"/>
        <w:rPr>
          <w:sz w:val="22"/>
          <w:szCs w:val="22"/>
        </w:rPr>
      </w:pPr>
    </w:p>
    <w:p w14:paraId="29DC2CBB" w14:textId="77777777" w:rsidR="00F12D1F" w:rsidRPr="00C618CC" w:rsidRDefault="00DA0B76" w:rsidP="00DA0B76">
      <w:pPr>
        <w:spacing w:line="240" w:lineRule="auto"/>
        <w:rPr>
          <w:sz w:val="22"/>
          <w:szCs w:val="22"/>
        </w:rPr>
      </w:pPr>
      <w:r w:rsidRPr="00C618CC">
        <w:rPr>
          <w:sz w:val="22"/>
          <w:szCs w:val="22"/>
        </w:rPr>
        <w:t>Not every alternative will be right for all investors.</w:t>
      </w:r>
    </w:p>
    <w:p w14:paraId="47C5D49F" w14:textId="68AC3C77" w:rsidR="00F12D1F" w:rsidRPr="00C618CC" w:rsidRDefault="00F12D1F" w:rsidP="00DA0B76">
      <w:pPr>
        <w:spacing w:line="240" w:lineRule="auto"/>
        <w:rPr>
          <w:sz w:val="22"/>
          <w:szCs w:val="22"/>
        </w:rPr>
      </w:pPr>
    </w:p>
    <w:p w14:paraId="32989F30" w14:textId="5E6A8666" w:rsidR="00F12D1F" w:rsidRPr="00C618CC" w:rsidRDefault="00F12D1F" w:rsidP="00DA0B76">
      <w:pPr>
        <w:spacing w:line="240" w:lineRule="auto"/>
        <w:rPr>
          <w:sz w:val="22"/>
          <w:szCs w:val="22"/>
        </w:rPr>
      </w:pPr>
      <w:r w:rsidRPr="00C618CC">
        <w:rPr>
          <w:sz w:val="22"/>
          <w:szCs w:val="22"/>
        </w:rPr>
        <w:t>[Not every alternative will be right for all investors]</w:t>
      </w:r>
    </w:p>
    <w:p w14:paraId="37B2D564" w14:textId="62B12B1A" w:rsidR="00F12D1F" w:rsidRPr="00C618CC" w:rsidRDefault="00F12D1F" w:rsidP="00DA0B76">
      <w:pPr>
        <w:spacing w:line="240" w:lineRule="auto"/>
        <w:rPr>
          <w:sz w:val="22"/>
          <w:szCs w:val="22"/>
        </w:rPr>
      </w:pPr>
    </w:p>
    <w:p w14:paraId="41CF731D" w14:textId="79B7187A" w:rsidR="00F12D1F" w:rsidRPr="00C618CC" w:rsidRDefault="00F12D1F" w:rsidP="00DA0B76">
      <w:pPr>
        <w:spacing w:line="240" w:lineRule="auto"/>
        <w:rPr>
          <w:sz w:val="22"/>
          <w:szCs w:val="22"/>
        </w:rPr>
      </w:pPr>
      <w:r w:rsidRPr="00C618CC">
        <w:rPr>
          <w:sz w:val="22"/>
          <w:szCs w:val="22"/>
        </w:rPr>
        <w:t>[A middle-aged woman sitting in her home, looking at a computer]</w:t>
      </w:r>
    </w:p>
    <w:p w14:paraId="7AF6C9E4" w14:textId="77777777" w:rsidR="00F12D1F" w:rsidRPr="00C618CC" w:rsidRDefault="00F12D1F" w:rsidP="00DA0B76">
      <w:pPr>
        <w:spacing w:line="240" w:lineRule="auto"/>
        <w:rPr>
          <w:sz w:val="22"/>
          <w:szCs w:val="22"/>
        </w:rPr>
      </w:pPr>
    </w:p>
    <w:p w14:paraId="72639F69" w14:textId="7B7E6949" w:rsidR="00DA0B76" w:rsidRPr="00C618CC" w:rsidRDefault="00DA0B76" w:rsidP="00DA0B76">
      <w:pPr>
        <w:spacing w:line="240" w:lineRule="auto"/>
        <w:rPr>
          <w:sz w:val="22"/>
          <w:szCs w:val="22"/>
        </w:rPr>
      </w:pPr>
      <w:r w:rsidRPr="00C618CC">
        <w:rPr>
          <w:sz w:val="22"/>
          <w:szCs w:val="22"/>
        </w:rPr>
        <w:t>But once we have determined how to efficiently increase investment breadth by adding alternatives to our existing traditional public market exposure, long-term portfolio outcomes are likely to be enhanced.</w:t>
      </w:r>
    </w:p>
    <w:p w14:paraId="3B9A0DDB" w14:textId="2012599C" w:rsidR="00E852EB" w:rsidRPr="00C618CC" w:rsidRDefault="00E852EB" w:rsidP="00DA0B76">
      <w:pPr>
        <w:spacing w:line="240" w:lineRule="auto"/>
        <w:rPr>
          <w:sz w:val="22"/>
          <w:szCs w:val="22"/>
        </w:rPr>
      </w:pPr>
    </w:p>
    <w:p w14:paraId="7B048159" w14:textId="21F41755" w:rsidR="00E852EB" w:rsidRPr="00C618CC" w:rsidRDefault="00E852EB" w:rsidP="00DA0B76">
      <w:pPr>
        <w:spacing w:line="240" w:lineRule="auto"/>
        <w:rPr>
          <w:sz w:val="22"/>
          <w:szCs w:val="22"/>
        </w:rPr>
      </w:pPr>
      <w:r w:rsidRPr="00C618CC">
        <w:rPr>
          <w:sz w:val="22"/>
          <w:szCs w:val="22"/>
        </w:rPr>
        <w:t>[An image of modern architecture]</w:t>
      </w:r>
    </w:p>
    <w:p w14:paraId="2C2FED26" w14:textId="45A99968" w:rsidR="00E852EB" w:rsidRPr="00C618CC" w:rsidRDefault="00E852EB" w:rsidP="00DA0B76">
      <w:pPr>
        <w:spacing w:line="240" w:lineRule="auto"/>
        <w:rPr>
          <w:sz w:val="22"/>
          <w:szCs w:val="22"/>
        </w:rPr>
      </w:pPr>
    </w:p>
    <w:p w14:paraId="166EF304" w14:textId="396D97D3" w:rsidR="00E852EB" w:rsidRPr="00C618CC" w:rsidRDefault="00E852EB" w:rsidP="00DA0B76">
      <w:pPr>
        <w:spacing w:line="240" w:lineRule="auto"/>
        <w:rPr>
          <w:sz w:val="22"/>
          <w:szCs w:val="22"/>
        </w:rPr>
      </w:pPr>
      <w:r w:rsidRPr="00C618CC">
        <w:rPr>
          <w:sz w:val="22"/>
          <w:szCs w:val="22"/>
        </w:rPr>
        <w:t>[How would an investor or advisor use alternatives in a portfolio?]</w:t>
      </w:r>
    </w:p>
    <w:p w14:paraId="683576AB" w14:textId="6616710F" w:rsidR="00E852EB" w:rsidRPr="00C618CC" w:rsidRDefault="00E852EB" w:rsidP="00DA0B76">
      <w:pPr>
        <w:spacing w:line="240" w:lineRule="auto"/>
        <w:rPr>
          <w:sz w:val="22"/>
          <w:szCs w:val="22"/>
        </w:rPr>
      </w:pPr>
    </w:p>
    <w:p w14:paraId="3F7C3B0C" w14:textId="3DF3EB0E" w:rsidR="00DA0B76" w:rsidRPr="00C618CC" w:rsidRDefault="00DA0B76" w:rsidP="00DA0B76">
      <w:pPr>
        <w:spacing w:line="240" w:lineRule="auto"/>
        <w:rPr>
          <w:sz w:val="22"/>
          <w:szCs w:val="22"/>
        </w:rPr>
      </w:pPr>
      <w:r w:rsidRPr="00C618CC">
        <w:rPr>
          <w:sz w:val="22"/>
          <w:szCs w:val="22"/>
        </w:rPr>
        <w:t xml:space="preserve">There's no "one size fits all" portfolio. Investors will differ in the amount and </w:t>
      </w:r>
      <w:proofErr w:type="gramStart"/>
      <w:r w:rsidRPr="00C618CC">
        <w:rPr>
          <w:sz w:val="22"/>
          <w:szCs w:val="22"/>
        </w:rPr>
        <w:t>manner in which</w:t>
      </w:r>
      <w:proofErr w:type="gramEnd"/>
      <w:r w:rsidRPr="00C618CC">
        <w:rPr>
          <w:sz w:val="22"/>
          <w:szCs w:val="22"/>
        </w:rPr>
        <w:t xml:space="preserve"> they allocate to alternatives depending upon their goals, their sensitivity to various risks, and their starting portfolio allocations.</w:t>
      </w:r>
    </w:p>
    <w:p w14:paraId="1BF203D1" w14:textId="77777777" w:rsidR="00DA0B76" w:rsidRPr="00C618CC" w:rsidRDefault="00DA0B76" w:rsidP="00DA0B76">
      <w:pPr>
        <w:spacing w:line="240" w:lineRule="auto"/>
        <w:rPr>
          <w:sz w:val="22"/>
          <w:szCs w:val="22"/>
        </w:rPr>
      </w:pPr>
    </w:p>
    <w:p w14:paraId="5BBDF5C6" w14:textId="20726163" w:rsidR="00E852EB" w:rsidRPr="00C618CC" w:rsidRDefault="00DA0B76" w:rsidP="00DA0B76">
      <w:pPr>
        <w:spacing w:line="240" w:lineRule="auto"/>
        <w:rPr>
          <w:sz w:val="22"/>
          <w:szCs w:val="22"/>
        </w:rPr>
      </w:pPr>
      <w:r w:rsidRPr="00C618CC">
        <w:rPr>
          <w:sz w:val="22"/>
          <w:szCs w:val="22"/>
        </w:rPr>
        <w:t xml:space="preserve">Investors with a focus on core fixed income solutions can look to alternatives </w:t>
      </w:r>
      <w:proofErr w:type="gramStart"/>
      <w:r w:rsidRPr="00C618CC">
        <w:rPr>
          <w:sz w:val="22"/>
          <w:szCs w:val="22"/>
        </w:rPr>
        <w:t>as a way to</w:t>
      </w:r>
      <w:proofErr w:type="gramEnd"/>
      <w:r w:rsidRPr="00C618CC">
        <w:rPr>
          <w:sz w:val="22"/>
          <w:szCs w:val="22"/>
        </w:rPr>
        <w:t xml:space="preserve"> diversify interest rate and inflation risk and to enhance expected income and returns.</w:t>
      </w:r>
    </w:p>
    <w:p w14:paraId="5F0ECC49" w14:textId="66414D99" w:rsidR="00E852EB" w:rsidRPr="00C618CC" w:rsidRDefault="00E852EB" w:rsidP="00DA0B76">
      <w:pPr>
        <w:spacing w:line="240" w:lineRule="auto"/>
        <w:rPr>
          <w:sz w:val="22"/>
          <w:szCs w:val="22"/>
        </w:rPr>
      </w:pPr>
      <w:r w:rsidRPr="00C618CC">
        <w:rPr>
          <w:sz w:val="22"/>
          <w:szCs w:val="22"/>
        </w:rPr>
        <w:t>[An image of the US Federal Reserve]</w:t>
      </w:r>
    </w:p>
    <w:p w14:paraId="59D9EB51" w14:textId="77777777" w:rsidR="00E852EB" w:rsidRPr="00C618CC" w:rsidRDefault="00E852EB" w:rsidP="00DA0B76">
      <w:pPr>
        <w:spacing w:line="240" w:lineRule="auto"/>
        <w:rPr>
          <w:sz w:val="22"/>
          <w:szCs w:val="22"/>
        </w:rPr>
      </w:pPr>
    </w:p>
    <w:p w14:paraId="3A3E0E30" w14:textId="77777777" w:rsidR="00E852EB" w:rsidRPr="00C618CC" w:rsidRDefault="00E852EB" w:rsidP="00E852EB">
      <w:pPr>
        <w:spacing w:line="240" w:lineRule="auto"/>
        <w:rPr>
          <w:sz w:val="22"/>
          <w:szCs w:val="22"/>
        </w:rPr>
      </w:pPr>
      <w:r w:rsidRPr="00C618CC">
        <w:rPr>
          <w:sz w:val="22"/>
          <w:szCs w:val="22"/>
        </w:rPr>
        <w:t>[Core fixed income:</w:t>
      </w:r>
    </w:p>
    <w:p w14:paraId="79B31CC7" w14:textId="77777777" w:rsidR="00E852EB" w:rsidRPr="00C618CC" w:rsidRDefault="00E852EB" w:rsidP="00E852EB">
      <w:pPr>
        <w:spacing w:line="240" w:lineRule="auto"/>
        <w:rPr>
          <w:sz w:val="22"/>
          <w:szCs w:val="22"/>
        </w:rPr>
      </w:pPr>
    </w:p>
    <w:p w14:paraId="6763FA39" w14:textId="77777777" w:rsidR="00E852EB" w:rsidRPr="00C618CC" w:rsidRDefault="00E852EB" w:rsidP="00E852EB">
      <w:pPr>
        <w:spacing w:line="240" w:lineRule="auto"/>
        <w:rPr>
          <w:sz w:val="22"/>
          <w:szCs w:val="22"/>
        </w:rPr>
      </w:pPr>
      <w:r w:rsidRPr="00C618CC">
        <w:rPr>
          <w:sz w:val="22"/>
          <w:szCs w:val="22"/>
        </w:rPr>
        <w:t>- Diversify interest rate and inflation risk</w:t>
      </w:r>
    </w:p>
    <w:p w14:paraId="01834756" w14:textId="24544D90" w:rsidR="00E852EB" w:rsidRPr="00C618CC" w:rsidRDefault="00E852EB" w:rsidP="00E852EB">
      <w:pPr>
        <w:spacing w:line="240" w:lineRule="auto"/>
        <w:rPr>
          <w:sz w:val="22"/>
          <w:szCs w:val="22"/>
        </w:rPr>
      </w:pPr>
      <w:r w:rsidRPr="00C618CC">
        <w:rPr>
          <w:sz w:val="22"/>
          <w:szCs w:val="22"/>
        </w:rPr>
        <w:lastRenderedPageBreak/>
        <w:t>- Enhance expected income and returns]</w:t>
      </w:r>
    </w:p>
    <w:p w14:paraId="5130644E" w14:textId="77777777" w:rsidR="00E852EB" w:rsidRPr="00C618CC" w:rsidRDefault="00E852EB" w:rsidP="00E852EB">
      <w:pPr>
        <w:spacing w:line="240" w:lineRule="auto"/>
        <w:rPr>
          <w:sz w:val="22"/>
          <w:szCs w:val="22"/>
        </w:rPr>
      </w:pPr>
    </w:p>
    <w:p w14:paraId="62C9764F" w14:textId="28630DDC" w:rsidR="00E852EB" w:rsidRPr="00C618CC" w:rsidRDefault="00DA0B76" w:rsidP="00DA0B76">
      <w:pPr>
        <w:spacing w:line="240" w:lineRule="auto"/>
        <w:rPr>
          <w:sz w:val="22"/>
          <w:szCs w:val="22"/>
        </w:rPr>
      </w:pPr>
      <w:r w:rsidRPr="00C618CC">
        <w:rPr>
          <w:sz w:val="22"/>
          <w:szCs w:val="22"/>
        </w:rPr>
        <w:t>And Multi-Strategy alternatives can provide these investors with a diversifying source of return without any significant increase in portfolio volatility.</w:t>
      </w:r>
    </w:p>
    <w:p w14:paraId="7B178477" w14:textId="5041B760" w:rsidR="007774E4" w:rsidRPr="00C618CC" w:rsidRDefault="007774E4" w:rsidP="00DA0B76">
      <w:pPr>
        <w:spacing w:line="240" w:lineRule="auto"/>
        <w:rPr>
          <w:sz w:val="22"/>
          <w:szCs w:val="22"/>
        </w:rPr>
      </w:pPr>
    </w:p>
    <w:p w14:paraId="0424B851" w14:textId="6D93D85A" w:rsidR="007774E4" w:rsidRPr="00C618CC" w:rsidRDefault="007774E4" w:rsidP="00DA0B76">
      <w:pPr>
        <w:spacing w:line="240" w:lineRule="auto"/>
        <w:rPr>
          <w:sz w:val="22"/>
          <w:szCs w:val="22"/>
        </w:rPr>
      </w:pPr>
      <w:r w:rsidRPr="00C618CC">
        <w:rPr>
          <w:sz w:val="22"/>
          <w:szCs w:val="22"/>
        </w:rPr>
        <w:t>[A line graph]</w:t>
      </w:r>
    </w:p>
    <w:p w14:paraId="76313706" w14:textId="77777777" w:rsidR="00E852EB" w:rsidRPr="00C618CC" w:rsidRDefault="00E852EB" w:rsidP="00DA0B76">
      <w:pPr>
        <w:spacing w:line="240" w:lineRule="auto"/>
        <w:rPr>
          <w:sz w:val="22"/>
          <w:szCs w:val="22"/>
        </w:rPr>
      </w:pPr>
    </w:p>
    <w:p w14:paraId="46E608B0" w14:textId="77777777" w:rsidR="00E852EB" w:rsidRPr="00C618CC" w:rsidRDefault="00E852EB" w:rsidP="00E852EB">
      <w:pPr>
        <w:spacing w:line="240" w:lineRule="auto"/>
        <w:rPr>
          <w:sz w:val="22"/>
          <w:szCs w:val="22"/>
        </w:rPr>
      </w:pPr>
      <w:r w:rsidRPr="00C618CC">
        <w:rPr>
          <w:sz w:val="22"/>
          <w:szCs w:val="22"/>
        </w:rPr>
        <w:t>[Multi-strategy alternatives:</w:t>
      </w:r>
    </w:p>
    <w:p w14:paraId="273864A1" w14:textId="3EB2C001" w:rsidR="00E852EB" w:rsidRPr="00C618CC" w:rsidRDefault="00E852EB" w:rsidP="00DA0B76">
      <w:pPr>
        <w:spacing w:line="240" w:lineRule="auto"/>
        <w:rPr>
          <w:sz w:val="22"/>
          <w:szCs w:val="22"/>
        </w:rPr>
      </w:pPr>
      <w:r w:rsidRPr="00C618CC">
        <w:rPr>
          <w:sz w:val="22"/>
          <w:szCs w:val="22"/>
        </w:rPr>
        <w:t>- Can provide a diversifying source of return without any significant increase in portfolio volatility]</w:t>
      </w:r>
    </w:p>
    <w:p w14:paraId="7D8DE062" w14:textId="77777777" w:rsidR="00E852EB" w:rsidRPr="00C618CC" w:rsidRDefault="00E852EB" w:rsidP="00DA0B76">
      <w:pPr>
        <w:spacing w:line="240" w:lineRule="auto"/>
        <w:rPr>
          <w:sz w:val="22"/>
          <w:szCs w:val="22"/>
        </w:rPr>
      </w:pPr>
    </w:p>
    <w:p w14:paraId="418A5E57" w14:textId="429A53C5" w:rsidR="00DA0B76" w:rsidRPr="00C618CC" w:rsidRDefault="00DA0B76" w:rsidP="00DA0B76">
      <w:pPr>
        <w:spacing w:line="240" w:lineRule="auto"/>
        <w:rPr>
          <w:sz w:val="22"/>
          <w:szCs w:val="22"/>
        </w:rPr>
      </w:pPr>
      <w:r w:rsidRPr="00C618CC">
        <w:rPr>
          <w:sz w:val="22"/>
          <w:szCs w:val="22"/>
        </w:rPr>
        <w:t>Equity-centric investors may allocate to private equity or real estate to enhance expected returns.</w:t>
      </w:r>
    </w:p>
    <w:p w14:paraId="358C9744" w14:textId="77777777" w:rsidR="007774E4" w:rsidRPr="00C618CC" w:rsidRDefault="007774E4" w:rsidP="00DA0B76">
      <w:pPr>
        <w:spacing w:line="240" w:lineRule="auto"/>
        <w:rPr>
          <w:sz w:val="22"/>
          <w:szCs w:val="22"/>
        </w:rPr>
      </w:pPr>
    </w:p>
    <w:p w14:paraId="3A193A45" w14:textId="79A23BC8" w:rsidR="00DA0B76" w:rsidRPr="00C618CC" w:rsidRDefault="007774E4" w:rsidP="00DA0B76">
      <w:pPr>
        <w:spacing w:line="240" w:lineRule="auto"/>
        <w:rPr>
          <w:sz w:val="22"/>
          <w:szCs w:val="22"/>
        </w:rPr>
      </w:pPr>
      <w:r w:rsidRPr="00C618CC">
        <w:rPr>
          <w:sz w:val="22"/>
          <w:szCs w:val="22"/>
        </w:rPr>
        <w:t>[An image of the Toronto Stock Exchange building]</w:t>
      </w:r>
    </w:p>
    <w:p w14:paraId="5FDC5546" w14:textId="77777777" w:rsidR="007774E4" w:rsidRPr="00C618CC" w:rsidRDefault="007774E4" w:rsidP="00DA0B76">
      <w:pPr>
        <w:spacing w:line="240" w:lineRule="auto"/>
        <w:rPr>
          <w:sz w:val="22"/>
          <w:szCs w:val="22"/>
        </w:rPr>
      </w:pPr>
    </w:p>
    <w:p w14:paraId="0FF6142E" w14:textId="77777777" w:rsidR="007774E4" w:rsidRPr="00C618CC" w:rsidRDefault="007774E4" w:rsidP="007774E4">
      <w:pPr>
        <w:spacing w:line="240" w:lineRule="auto"/>
        <w:rPr>
          <w:sz w:val="22"/>
          <w:szCs w:val="22"/>
        </w:rPr>
      </w:pPr>
      <w:r w:rsidRPr="00C618CC">
        <w:rPr>
          <w:sz w:val="22"/>
          <w:szCs w:val="22"/>
        </w:rPr>
        <w:t>[Equity-centric investors:</w:t>
      </w:r>
    </w:p>
    <w:p w14:paraId="6E70D4D7" w14:textId="77777777" w:rsidR="007774E4" w:rsidRPr="00C618CC" w:rsidRDefault="007774E4" w:rsidP="007774E4">
      <w:pPr>
        <w:spacing w:line="240" w:lineRule="auto"/>
        <w:rPr>
          <w:sz w:val="22"/>
          <w:szCs w:val="22"/>
        </w:rPr>
      </w:pPr>
      <w:r w:rsidRPr="00C618CC">
        <w:rPr>
          <w:sz w:val="22"/>
          <w:szCs w:val="22"/>
        </w:rPr>
        <w:t>- May allocate to private equity or real estate to enhance expected returns]</w:t>
      </w:r>
    </w:p>
    <w:p w14:paraId="25DA0206" w14:textId="77777777" w:rsidR="007774E4" w:rsidRPr="00C618CC" w:rsidRDefault="007774E4" w:rsidP="00DA0B76">
      <w:pPr>
        <w:spacing w:line="240" w:lineRule="auto"/>
        <w:rPr>
          <w:sz w:val="22"/>
          <w:szCs w:val="22"/>
        </w:rPr>
      </w:pPr>
    </w:p>
    <w:p w14:paraId="2C1875CE" w14:textId="02604CAE" w:rsidR="007774E4" w:rsidRPr="00C618CC" w:rsidRDefault="00DA0B76" w:rsidP="00DA0B76">
      <w:pPr>
        <w:spacing w:line="240" w:lineRule="auto"/>
        <w:rPr>
          <w:sz w:val="22"/>
          <w:szCs w:val="22"/>
        </w:rPr>
      </w:pPr>
      <w:r w:rsidRPr="00C618CC">
        <w:rPr>
          <w:sz w:val="22"/>
          <w:szCs w:val="22"/>
        </w:rPr>
        <w:t>Real estate can also generate predictable income and provide these investors with another opportunity to hedge inflation risks.</w:t>
      </w:r>
    </w:p>
    <w:p w14:paraId="436A5067" w14:textId="609B6B2A" w:rsidR="007774E4" w:rsidRPr="00C618CC" w:rsidRDefault="007774E4" w:rsidP="00DA0B76">
      <w:pPr>
        <w:spacing w:line="240" w:lineRule="auto"/>
        <w:rPr>
          <w:sz w:val="22"/>
          <w:szCs w:val="22"/>
        </w:rPr>
      </w:pPr>
    </w:p>
    <w:p w14:paraId="456B22BE" w14:textId="17A93BB5" w:rsidR="007774E4" w:rsidRPr="00C618CC" w:rsidRDefault="007774E4" w:rsidP="00DA0B76">
      <w:pPr>
        <w:spacing w:line="240" w:lineRule="auto"/>
        <w:rPr>
          <w:sz w:val="22"/>
          <w:szCs w:val="22"/>
        </w:rPr>
      </w:pPr>
      <w:r w:rsidRPr="00C618CC">
        <w:rPr>
          <w:sz w:val="22"/>
          <w:szCs w:val="22"/>
        </w:rPr>
        <w:t>[An image of a waterside modern house]</w:t>
      </w:r>
    </w:p>
    <w:p w14:paraId="6D21B3B8" w14:textId="77777777" w:rsidR="007774E4" w:rsidRPr="00C618CC" w:rsidRDefault="007774E4" w:rsidP="00DA0B76">
      <w:pPr>
        <w:spacing w:line="240" w:lineRule="auto"/>
        <w:rPr>
          <w:sz w:val="22"/>
          <w:szCs w:val="22"/>
        </w:rPr>
      </w:pPr>
    </w:p>
    <w:p w14:paraId="6692850E" w14:textId="77777777" w:rsidR="007774E4" w:rsidRPr="00C618CC" w:rsidRDefault="007774E4" w:rsidP="007774E4">
      <w:pPr>
        <w:spacing w:line="240" w:lineRule="auto"/>
        <w:rPr>
          <w:sz w:val="22"/>
          <w:szCs w:val="22"/>
        </w:rPr>
      </w:pPr>
      <w:r w:rsidRPr="00C618CC">
        <w:rPr>
          <w:sz w:val="22"/>
          <w:szCs w:val="22"/>
        </w:rPr>
        <w:t>[Real estate:</w:t>
      </w:r>
    </w:p>
    <w:p w14:paraId="1E075277" w14:textId="77777777" w:rsidR="007774E4" w:rsidRPr="00C618CC" w:rsidRDefault="007774E4" w:rsidP="007774E4">
      <w:pPr>
        <w:spacing w:line="240" w:lineRule="auto"/>
        <w:rPr>
          <w:sz w:val="22"/>
          <w:szCs w:val="22"/>
        </w:rPr>
      </w:pPr>
      <w:r w:rsidRPr="00C618CC">
        <w:rPr>
          <w:sz w:val="22"/>
          <w:szCs w:val="22"/>
        </w:rPr>
        <w:t>- Can also generate predictable income</w:t>
      </w:r>
    </w:p>
    <w:p w14:paraId="19F353AF" w14:textId="26DE19BF" w:rsidR="007774E4" w:rsidRPr="00C618CC" w:rsidRDefault="007774E4" w:rsidP="007774E4">
      <w:pPr>
        <w:spacing w:line="240" w:lineRule="auto"/>
        <w:rPr>
          <w:sz w:val="22"/>
          <w:szCs w:val="22"/>
        </w:rPr>
      </w:pPr>
      <w:r w:rsidRPr="00C618CC">
        <w:rPr>
          <w:sz w:val="22"/>
          <w:szCs w:val="22"/>
        </w:rPr>
        <w:t>- Provide opportunity to hedge inflation risks]</w:t>
      </w:r>
    </w:p>
    <w:p w14:paraId="318E7E91" w14:textId="77777777" w:rsidR="007774E4" w:rsidRPr="00C618CC" w:rsidRDefault="007774E4" w:rsidP="007774E4">
      <w:pPr>
        <w:spacing w:line="240" w:lineRule="auto"/>
        <w:rPr>
          <w:sz w:val="22"/>
          <w:szCs w:val="22"/>
        </w:rPr>
      </w:pPr>
    </w:p>
    <w:p w14:paraId="66ADABF8" w14:textId="64F8C283" w:rsidR="00DA0B76" w:rsidRPr="00C618CC" w:rsidRDefault="00DA0B76" w:rsidP="00DA0B76">
      <w:pPr>
        <w:spacing w:line="240" w:lineRule="auto"/>
        <w:rPr>
          <w:sz w:val="22"/>
          <w:szCs w:val="22"/>
        </w:rPr>
      </w:pPr>
      <w:r w:rsidRPr="00C618CC">
        <w:rPr>
          <w:sz w:val="22"/>
          <w:szCs w:val="22"/>
        </w:rPr>
        <w:t>And multi-asset strategies can be utilized to diversify macro growth risk, typically prevalent in an equity centric portfolio.</w:t>
      </w:r>
    </w:p>
    <w:p w14:paraId="364B0EC1" w14:textId="7881E2EB" w:rsidR="007774E4" w:rsidRPr="00C618CC" w:rsidRDefault="007774E4" w:rsidP="00DA0B76">
      <w:pPr>
        <w:spacing w:line="240" w:lineRule="auto"/>
        <w:rPr>
          <w:sz w:val="22"/>
          <w:szCs w:val="22"/>
        </w:rPr>
      </w:pPr>
    </w:p>
    <w:p w14:paraId="29EB4549" w14:textId="41CDDB5C" w:rsidR="007774E4" w:rsidRPr="00C618CC" w:rsidRDefault="007774E4" w:rsidP="00DA0B76">
      <w:pPr>
        <w:spacing w:line="240" w:lineRule="auto"/>
        <w:rPr>
          <w:sz w:val="22"/>
          <w:szCs w:val="22"/>
        </w:rPr>
      </w:pPr>
      <w:r w:rsidRPr="00C618CC">
        <w:rPr>
          <w:sz w:val="22"/>
          <w:szCs w:val="22"/>
        </w:rPr>
        <w:t>[An image of modern architecture]</w:t>
      </w:r>
    </w:p>
    <w:p w14:paraId="4FC5B23F" w14:textId="6E540954" w:rsidR="007774E4" w:rsidRPr="00C618CC" w:rsidRDefault="007774E4" w:rsidP="00DA0B76">
      <w:pPr>
        <w:spacing w:line="240" w:lineRule="auto"/>
        <w:rPr>
          <w:sz w:val="22"/>
          <w:szCs w:val="22"/>
        </w:rPr>
      </w:pPr>
    </w:p>
    <w:p w14:paraId="1FD6C4EC" w14:textId="77777777" w:rsidR="007774E4" w:rsidRPr="00C618CC" w:rsidRDefault="007774E4" w:rsidP="007774E4">
      <w:pPr>
        <w:spacing w:line="240" w:lineRule="auto"/>
        <w:rPr>
          <w:sz w:val="22"/>
          <w:szCs w:val="22"/>
        </w:rPr>
      </w:pPr>
      <w:r w:rsidRPr="00C618CC">
        <w:rPr>
          <w:sz w:val="22"/>
          <w:szCs w:val="22"/>
        </w:rPr>
        <w:t>[Multi-asset strategies:</w:t>
      </w:r>
    </w:p>
    <w:p w14:paraId="0D4D5ADE" w14:textId="77777777" w:rsidR="007774E4" w:rsidRPr="00C618CC" w:rsidRDefault="007774E4" w:rsidP="007774E4">
      <w:pPr>
        <w:spacing w:line="240" w:lineRule="auto"/>
        <w:rPr>
          <w:sz w:val="22"/>
          <w:szCs w:val="22"/>
        </w:rPr>
      </w:pPr>
      <w:r w:rsidRPr="00C618CC">
        <w:rPr>
          <w:sz w:val="22"/>
          <w:szCs w:val="22"/>
        </w:rPr>
        <w:t>- Can diversify macro growth risk</w:t>
      </w:r>
    </w:p>
    <w:p w14:paraId="6BA3B4E9" w14:textId="710CB41B" w:rsidR="007774E4" w:rsidRPr="00C618CC" w:rsidRDefault="007774E4" w:rsidP="007774E4">
      <w:pPr>
        <w:spacing w:line="240" w:lineRule="auto"/>
        <w:rPr>
          <w:sz w:val="22"/>
          <w:szCs w:val="22"/>
        </w:rPr>
      </w:pPr>
      <w:proofErr w:type="gramStart"/>
      <w:r w:rsidRPr="00C618CC">
        <w:rPr>
          <w:sz w:val="22"/>
          <w:szCs w:val="22"/>
        </w:rPr>
        <w:t>typically</w:t>
      </w:r>
      <w:proofErr w:type="gramEnd"/>
      <w:r w:rsidRPr="00C618CC">
        <w:rPr>
          <w:sz w:val="22"/>
          <w:szCs w:val="22"/>
        </w:rPr>
        <w:t xml:space="preserve"> prevalent in an equity-centric portfolio]</w:t>
      </w:r>
    </w:p>
    <w:p w14:paraId="0F666466" w14:textId="662668CE" w:rsidR="007774E4" w:rsidRPr="00C618CC" w:rsidRDefault="007774E4" w:rsidP="007774E4">
      <w:pPr>
        <w:spacing w:line="240" w:lineRule="auto"/>
        <w:rPr>
          <w:sz w:val="22"/>
          <w:szCs w:val="22"/>
        </w:rPr>
      </w:pPr>
    </w:p>
    <w:p w14:paraId="6A8F992D" w14:textId="42F19B01" w:rsidR="007774E4" w:rsidRPr="00C618CC" w:rsidRDefault="007774E4" w:rsidP="007774E4">
      <w:pPr>
        <w:spacing w:line="240" w:lineRule="auto"/>
        <w:rPr>
          <w:sz w:val="22"/>
          <w:szCs w:val="22"/>
        </w:rPr>
      </w:pPr>
      <w:r w:rsidRPr="00C618CC">
        <w:rPr>
          <w:sz w:val="22"/>
          <w:szCs w:val="22"/>
        </w:rPr>
        <w:t xml:space="preserve">[Why </w:t>
      </w:r>
      <w:proofErr w:type="gramStart"/>
      <w:r w:rsidRPr="00C618CC">
        <w:rPr>
          <w:sz w:val="22"/>
          <w:szCs w:val="22"/>
        </w:rPr>
        <w:t>consider</w:t>
      </w:r>
      <w:proofErr w:type="gramEnd"/>
      <w:r w:rsidRPr="00C618CC">
        <w:rPr>
          <w:sz w:val="22"/>
          <w:szCs w:val="22"/>
        </w:rPr>
        <w:t xml:space="preserve"> alternatives?</w:t>
      </w:r>
    </w:p>
    <w:p w14:paraId="49D460CF" w14:textId="7392D12B" w:rsidR="00C54CF3" w:rsidRPr="00C618CC" w:rsidRDefault="00C54CF3" w:rsidP="007774E4">
      <w:pPr>
        <w:spacing w:line="240" w:lineRule="auto"/>
        <w:rPr>
          <w:sz w:val="22"/>
          <w:szCs w:val="22"/>
        </w:rPr>
      </w:pPr>
    </w:p>
    <w:p w14:paraId="626F5502" w14:textId="3F0BCA03" w:rsidR="00C54CF3" w:rsidRPr="00C618CC" w:rsidRDefault="00C54CF3" w:rsidP="007774E4">
      <w:pPr>
        <w:spacing w:line="240" w:lineRule="auto"/>
        <w:rPr>
          <w:sz w:val="22"/>
          <w:szCs w:val="22"/>
        </w:rPr>
      </w:pPr>
      <w:r w:rsidRPr="00C618CC">
        <w:rPr>
          <w:sz w:val="22"/>
          <w:szCs w:val="22"/>
        </w:rPr>
        <w:t>1. Unlock greater breadth of opportunities for investors</w:t>
      </w:r>
    </w:p>
    <w:p w14:paraId="422F759A" w14:textId="31BF66B1" w:rsidR="00C54CF3" w:rsidRPr="00C618CC" w:rsidRDefault="00C54CF3" w:rsidP="007774E4">
      <w:pPr>
        <w:spacing w:line="240" w:lineRule="auto"/>
        <w:rPr>
          <w:sz w:val="22"/>
          <w:szCs w:val="22"/>
        </w:rPr>
      </w:pPr>
    </w:p>
    <w:p w14:paraId="16D374A9" w14:textId="4251AF27" w:rsidR="00C54CF3" w:rsidRPr="00C618CC" w:rsidRDefault="00C54CF3" w:rsidP="007774E4">
      <w:pPr>
        <w:spacing w:line="240" w:lineRule="auto"/>
        <w:rPr>
          <w:sz w:val="22"/>
          <w:szCs w:val="22"/>
        </w:rPr>
      </w:pPr>
      <w:r w:rsidRPr="00C618CC">
        <w:rPr>
          <w:sz w:val="22"/>
          <w:szCs w:val="22"/>
        </w:rPr>
        <w:t>2. Add unique risk/return characteristics, helping diversify traditional portfolios</w:t>
      </w:r>
    </w:p>
    <w:p w14:paraId="52B951BE" w14:textId="2A81D96A" w:rsidR="00C54CF3" w:rsidRPr="00C618CC" w:rsidRDefault="00C54CF3" w:rsidP="007774E4">
      <w:pPr>
        <w:spacing w:line="240" w:lineRule="auto"/>
        <w:rPr>
          <w:sz w:val="22"/>
          <w:szCs w:val="22"/>
        </w:rPr>
      </w:pPr>
    </w:p>
    <w:p w14:paraId="527E86DB" w14:textId="7AD74992" w:rsidR="00C54CF3" w:rsidRPr="00C618CC" w:rsidRDefault="00C54CF3" w:rsidP="007774E4">
      <w:pPr>
        <w:spacing w:line="240" w:lineRule="auto"/>
        <w:rPr>
          <w:sz w:val="22"/>
          <w:szCs w:val="22"/>
        </w:rPr>
      </w:pPr>
      <w:r w:rsidRPr="00C618CC">
        <w:rPr>
          <w:sz w:val="22"/>
          <w:szCs w:val="22"/>
        </w:rPr>
        <w:t>3. Complementary to core equity or fixed income allocations]</w:t>
      </w:r>
    </w:p>
    <w:p w14:paraId="302E5443" w14:textId="7C63494E" w:rsidR="00C54CF3" w:rsidRPr="00C618CC" w:rsidRDefault="00C54CF3" w:rsidP="007774E4">
      <w:pPr>
        <w:spacing w:line="240" w:lineRule="auto"/>
        <w:rPr>
          <w:sz w:val="22"/>
          <w:szCs w:val="22"/>
        </w:rPr>
      </w:pPr>
    </w:p>
    <w:p w14:paraId="080033AB" w14:textId="7C1728A9" w:rsidR="00C54CF3" w:rsidRPr="00C618CC" w:rsidRDefault="00C54CF3" w:rsidP="007774E4">
      <w:pPr>
        <w:spacing w:line="240" w:lineRule="auto"/>
        <w:rPr>
          <w:sz w:val="22"/>
          <w:szCs w:val="22"/>
        </w:rPr>
      </w:pPr>
      <w:r w:rsidRPr="00C618CC">
        <w:rPr>
          <w:sz w:val="22"/>
          <w:szCs w:val="22"/>
        </w:rPr>
        <w:t xml:space="preserve">[The views expressed in this document are the views of CIBC Asset Management Inc. and are subject to change at any time. CIBC Asset Management Inc. does not undertake any obligation or responsibility to update such opinions. This document is provided for general informational purposes only and does not constitute financial, investment, tax, legal or accounting advice nor does it constitute an offer or solicitation to buy or sell any securities referred to. Individual circumstances and current events are critical to sound investment planning; anyone wishing to act on this document should consult with his or her advisor. All opinions and estimates </w:t>
      </w:r>
      <w:r w:rsidRPr="00C618CC">
        <w:rPr>
          <w:sz w:val="22"/>
          <w:szCs w:val="22"/>
        </w:rPr>
        <w:lastRenderedPageBreak/>
        <w:t xml:space="preserve">expressed in this document are as of the date of publication unless otherwise </w:t>
      </w:r>
      <w:proofErr w:type="gramStart"/>
      <w:r w:rsidRPr="00C618CC">
        <w:rPr>
          <w:sz w:val="22"/>
          <w:szCs w:val="22"/>
        </w:rPr>
        <w:t>indicated, and</w:t>
      </w:r>
      <w:proofErr w:type="gramEnd"/>
      <w:r w:rsidRPr="00C618CC">
        <w:rPr>
          <w:sz w:val="22"/>
          <w:szCs w:val="22"/>
        </w:rPr>
        <w:t xml:space="preserve"> are subject to change.</w:t>
      </w:r>
      <w:r w:rsidRPr="00C618CC">
        <w:rPr>
          <w:sz w:val="22"/>
          <w:szCs w:val="22"/>
        </w:rPr>
        <w:cr/>
      </w:r>
      <w:r w:rsidRPr="00C618CC">
        <w:rPr>
          <w:sz w:val="22"/>
          <w:szCs w:val="22"/>
        </w:rPr>
        <w:cr/>
        <w:t>CIBC Asset Management and the CIBC logo are trademarks of Canadian Imperial Bank of Commerce (CIBC), used under license. The material and/or its contents may not be reproduced without the express written consent of CIBC Asset Management Inc.]</w:t>
      </w:r>
    </w:p>
    <w:p w14:paraId="1F7FE0B2" w14:textId="07DBC58A" w:rsidR="00C54CF3" w:rsidRPr="00C618CC" w:rsidRDefault="00C54CF3" w:rsidP="007774E4">
      <w:pPr>
        <w:spacing w:line="240" w:lineRule="auto"/>
        <w:rPr>
          <w:sz w:val="22"/>
          <w:szCs w:val="22"/>
        </w:rPr>
      </w:pPr>
    </w:p>
    <w:p w14:paraId="50E2C544" w14:textId="1CF016E2" w:rsidR="00C54CF3" w:rsidRPr="00C618CC" w:rsidRDefault="00C54CF3" w:rsidP="00C54CF3">
      <w:pPr>
        <w:spacing w:line="240" w:lineRule="auto"/>
        <w:rPr>
          <w:sz w:val="22"/>
          <w:szCs w:val="22"/>
        </w:rPr>
      </w:pPr>
      <w:r w:rsidRPr="00C618CC">
        <w:rPr>
          <w:sz w:val="22"/>
          <w:szCs w:val="22"/>
        </w:rPr>
        <w:t>[CIBC Asset Management logo]</w:t>
      </w:r>
    </w:p>
    <w:p w14:paraId="41AAAED3" w14:textId="4C019C82" w:rsidR="00C54CF3" w:rsidRPr="00C618CC" w:rsidRDefault="00C54CF3" w:rsidP="00C54CF3">
      <w:pPr>
        <w:spacing w:line="240" w:lineRule="auto"/>
        <w:rPr>
          <w:sz w:val="22"/>
          <w:szCs w:val="22"/>
        </w:rPr>
      </w:pPr>
    </w:p>
    <w:p w14:paraId="74DE087B" w14:textId="02E16CE1" w:rsidR="00C54CF3" w:rsidRDefault="00C54CF3" w:rsidP="00C54CF3">
      <w:pPr>
        <w:spacing w:line="240" w:lineRule="auto"/>
        <w:rPr>
          <w:sz w:val="22"/>
          <w:szCs w:val="22"/>
        </w:rPr>
      </w:pPr>
      <w:r w:rsidRPr="00C618CC">
        <w:rPr>
          <w:sz w:val="22"/>
          <w:szCs w:val="22"/>
        </w:rPr>
        <w:t>[CIBC Asset Management and the CIBC logo are trademarks of Canadian Imperial Bank of Commerce (CIBC), used under license.]</w:t>
      </w:r>
    </w:p>
    <w:p w14:paraId="1535ED71" w14:textId="26B6AAE8" w:rsidR="00C54CF3" w:rsidRDefault="00C54CF3" w:rsidP="007774E4">
      <w:pPr>
        <w:spacing w:line="240" w:lineRule="auto"/>
        <w:rPr>
          <w:sz w:val="22"/>
          <w:szCs w:val="22"/>
        </w:rPr>
      </w:pPr>
    </w:p>
    <w:p w14:paraId="48C73AA8" w14:textId="77777777" w:rsidR="00C54CF3" w:rsidRDefault="00C54CF3" w:rsidP="007774E4">
      <w:pPr>
        <w:spacing w:line="240" w:lineRule="auto"/>
        <w:rPr>
          <w:sz w:val="22"/>
          <w:szCs w:val="22"/>
        </w:rPr>
      </w:pPr>
    </w:p>
    <w:p w14:paraId="29759021" w14:textId="1E26FF95" w:rsidR="00C54CF3" w:rsidRDefault="00C54CF3" w:rsidP="007774E4">
      <w:pPr>
        <w:spacing w:line="240" w:lineRule="auto"/>
        <w:rPr>
          <w:sz w:val="22"/>
          <w:szCs w:val="22"/>
        </w:rPr>
      </w:pPr>
    </w:p>
    <w:p w14:paraId="5927B671" w14:textId="77777777" w:rsidR="00C54CF3" w:rsidRPr="00DA0B76" w:rsidRDefault="00C54CF3" w:rsidP="007774E4">
      <w:pPr>
        <w:spacing w:line="240" w:lineRule="auto"/>
        <w:rPr>
          <w:sz w:val="22"/>
          <w:szCs w:val="22"/>
        </w:rPr>
      </w:pPr>
    </w:p>
    <w:p w14:paraId="28F6D1AE" w14:textId="77777777" w:rsidR="007774E4" w:rsidRPr="00DA0B76" w:rsidRDefault="007774E4" w:rsidP="00DA0B76">
      <w:pPr>
        <w:spacing w:line="240" w:lineRule="auto"/>
        <w:rPr>
          <w:sz w:val="22"/>
          <w:szCs w:val="22"/>
        </w:rPr>
      </w:pPr>
    </w:p>
    <w:p w14:paraId="17F655BE" w14:textId="1A455CAD" w:rsidR="00E675C6" w:rsidRPr="009902C9" w:rsidRDefault="00E675C6" w:rsidP="00DA0B76">
      <w:pPr>
        <w:spacing w:line="240" w:lineRule="auto"/>
        <w:rPr>
          <w:sz w:val="22"/>
          <w:szCs w:val="22"/>
        </w:rPr>
      </w:pPr>
    </w:p>
    <w:sectPr w:rsidR="00E675C6" w:rsidRPr="009902C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C6"/>
    <w:rsid w:val="001505E6"/>
    <w:rsid w:val="00260E27"/>
    <w:rsid w:val="002E52B3"/>
    <w:rsid w:val="0037501D"/>
    <w:rsid w:val="004E3059"/>
    <w:rsid w:val="007774E4"/>
    <w:rsid w:val="007818C5"/>
    <w:rsid w:val="008860CA"/>
    <w:rsid w:val="00912B5F"/>
    <w:rsid w:val="009902C9"/>
    <w:rsid w:val="00A42202"/>
    <w:rsid w:val="00C54CF3"/>
    <w:rsid w:val="00C618CC"/>
    <w:rsid w:val="00DA0B76"/>
    <w:rsid w:val="00DB79C7"/>
    <w:rsid w:val="00E675C6"/>
    <w:rsid w:val="00E852EB"/>
    <w:rsid w:val="00EC785D"/>
    <w:rsid w:val="00F12D1F"/>
    <w:rsid w:val="00F34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E5C6"/>
  <w15:docId w15:val="{DE330CE0-2407-45C8-A629-210E1283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CA" w:eastAsia="en-CA"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60E27"/>
    <w:rPr>
      <w:color w:val="0563C1" w:themeColor="hyperlink"/>
      <w:u w:val="single"/>
    </w:rPr>
  </w:style>
  <w:style w:type="character" w:styleId="UnresolvedMention">
    <w:name w:val="Unresolved Mention"/>
    <w:basedOn w:val="DefaultParagraphFont"/>
    <w:uiPriority w:val="99"/>
    <w:semiHidden/>
    <w:unhideWhenUsed/>
    <w:rsid w:val="00260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Chris Clifford</dc:creator>
  <cp:lastModifiedBy>Chris Clifford</cp:lastModifiedBy>
  <cp:revision>7</cp:revision>
  <dcterms:created xsi:type="dcterms:W3CDTF">2022-08-10T13:36:00Z</dcterms:created>
  <dcterms:modified xsi:type="dcterms:W3CDTF">2022-08-15T13:26:00Z</dcterms:modified>
</cp:coreProperties>
</file>